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CD3A" w14:textId="77777777" w:rsidR="00B50A3A" w:rsidRPr="00B50A3A" w:rsidRDefault="00B50A3A" w:rsidP="00B50A3A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</w:pPr>
      <w:r w:rsidRPr="00B50A3A"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  <w:t>What is an ITIN?</w:t>
      </w:r>
    </w:p>
    <w:p w14:paraId="7C971A76" w14:textId="77777777" w:rsidR="00B50A3A" w:rsidRPr="00B50A3A" w:rsidRDefault="00B50A3A" w:rsidP="00B50A3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An Individual Taxpayer Identification Number (ITIN) is a tax processing number issued by the Internal Revenue Service. The IRS issues ITINs to individuals who are required to have a U.S. taxpayer identification number but who do not have, and </w:t>
      </w:r>
      <w:hyperlink r:id="rId5" w:tooltip="Social Security Number and Card" w:history="1"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are not eligible</w:t>
        </w:r>
      </w:hyperlink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 to obtain, a Social Security number (SSN) from the </w:t>
      </w:r>
      <w:hyperlink r:id="rId6" w:tooltip="Social Security Number and Card" w:history="1"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Social Security Administration (</w:t>
        </w:r>
        <w:proofErr w:type="spellStart"/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SSA</w:t>
        </w:r>
        <w:proofErr w:type="spellEnd"/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)</w:t>
        </w:r>
      </w:hyperlink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.</w:t>
      </w:r>
    </w:p>
    <w:p w14:paraId="4BDF0C64" w14:textId="77777777" w:rsidR="00B50A3A" w:rsidRPr="00B50A3A" w:rsidRDefault="00B50A3A" w:rsidP="00B50A3A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</w:pPr>
      <w:r w:rsidRPr="00B50A3A"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  <w:t>What is an ITIN used for?</w:t>
      </w:r>
    </w:p>
    <w:p w14:paraId="46EB24FB" w14:textId="77777777" w:rsidR="00B50A3A" w:rsidRPr="00B50A3A" w:rsidRDefault="00B50A3A" w:rsidP="00B50A3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IRS issues ITINs to help individuals comply with the U.S. tax laws, and to provide a means to efficiently process and account for tax returns and payments for those </w:t>
      </w:r>
      <w:hyperlink r:id="rId7" w:tooltip="Social Security Number and Card" w:history="1"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not eligible</w:t>
        </w:r>
      </w:hyperlink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 for Social Security numbers. They are issued regardless of immigration status, because both resident and nonresident aliens may have a U.S. filing or reporting requirement under the Internal Revenue Code. ITINs do not serve any purpose other than federal tax reporting.</w:t>
      </w:r>
    </w:p>
    <w:p w14:paraId="45F6840E" w14:textId="77777777" w:rsidR="00B50A3A" w:rsidRPr="00B50A3A" w:rsidRDefault="00B50A3A" w:rsidP="00B50A3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An ITIN </w:t>
      </w:r>
      <w:r w:rsidRPr="00B50A3A">
        <w:rPr>
          <w:rFonts w:ascii="Source Sans Pro" w:eastAsia="Times New Roman" w:hAnsi="Source Sans Pro" w:cs="Times New Roman"/>
          <w:b/>
          <w:bCs/>
          <w:color w:val="1B1B1B"/>
          <w:sz w:val="24"/>
          <w:szCs w:val="24"/>
        </w:rPr>
        <w:t>does not:</w:t>
      </w:r>
    </w:p>
    <w:p w14:paraId="1D34E2E2" w14:textId="77777777" w:rsidR="00B50A3A" w:rsidRPr="00B50A3A" w:rsidRDefault="00B50A3A" w:rsidP="00B50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Authorize work in the U.S.</w:t>
      </w:r>
    </w:p>
    <w:p w14:paraId="10F0AAC2" w14:textId="77777777" w:rsidR="00B50A3A" w:rsidRPr="00B50A3A" w:rsidRDefault="00B50A3A" w:rsidP="00B50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Provide eligibility for Social Security benefits</w:t>
      </w:r>
    </w:p>
    <w:p w14:paraId="7BD37FDB" w14:textId="77777777" w:rsidR="00B50A3A" w:rsidRPr="00B50A3A" w:rsidRDefault="00B50A3A" w:rsidP="00B50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Qualify a dependent for Earned Income Tax Credit Purposes</w:t>
      </w:r>
    </w:p>
    <w:p w14:paraId="7BDCFB47" w14:textId="77777777" w:rsidR="00B50A3A" w:rsidRPr="00B50A3A" w:rsidRDefault="00B50A3A" w:rsidP="00B50A3A">
      <w:pPr>
        <w:shd w:val="clear" w:color="auto" w:fill="FFFFFF"/>
        <w:spacing w:before="30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</w:pPr>
      <w:r w:rsidRPr="00B50A3A">
        <w:rPr>
          <w:rFonts w:ascii="Source Sans Pro" w:eastAsia="Times New Roman" w:hAnsi="Source Sans Pro" w:cs="Times New Roman"/>
          <w:b/>
          <w:bCs/>
          <w:color w:val="1B1B1B"/>
          <w:sz w:val="36"/>
          <w:szCs w:val="36"/>
        </w:rPr>
        <w:t>Do I need an ITIN?</w:t>
      </w:r>
    </w:p>
    <w:p w14:paraId="67A0C368" w14:textId="77777777" w:rsidR="00B50A3A" w:rsidRPr="00B50A3A" w:rsidRDefault="00B50A3A" w:rsidP="00B50A3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Does the following apply to you?</w:t>
      </w:r>
    </w:p>
    <w:p w14:paraId="1D756D49" w14:textId="77777777" w:rsidR="00B50A3A" w:rsidRPr="00B50A3A" w:rsidRDefault="00B50A3A" w:rsidP="00B50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You do not have an SSN and </w:t>
      </w:r>
      <w:hyperlink r:id="rId8" w:tooltip="Social Security Number and Card" w:history="1"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are not eligible</w:t>
        </w:r>
      </w:hyperlink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 to obtain one, and</w:t>
      </w:r>
    </w:p>
    <w:p w14:paraId="3CEE50B4" w14:textId="77777777" w:rsidR="00B50A3A" w:rsidRPr="00B50A3A" w:rsidRDefault="00B50A3A" w:rsidP="00B50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You have a requirement to furnish a federal tax identification number or file a federal tax return, and</w:t>
      </w:r>
    </w:p>
    <w:p w14:paraId="1D9AD24C" w14:textId="77777777" w:rsidR="00B50A3A" w:rsidRPr="00B50A3A" w:rsidRDefault="00B50A3A" w:rsidP="00B50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You are in one of the </w:t>
      </w:r>
      <w:hyperlink r:id="rId9" w:tooltip="Determining an Individual’s Tax Residency Status" w:history="1">
        <w:r w:rsidRPr="00B50A3A">
          <w:rPr>
            <w:rFonts w:ascii="Source Sans Pro" w:eastAsia="Times New Roman" w:hAnsi="Source Sans Pro" w:cs="Times New Roman"/>
            <w:color w:val="00599C"/>
            <w:sz w:val="24"/>
            <w:szCs w:val="24"/>
            <w:u w:val="single"/>
          </w:rPr>
          <w:t>following categories</w:t>
        </w:r>
      </w:hyperlink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:</w:t>
      </w:r>
    </w:p>
    <w:p w14:paraId="57827D55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Nonresident alien who is required to file a U.S. tax return</w:t>
      </w:r>
    </w:p>
    <w:p w14:paraId="440F09E9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U.S. resident alien who is (based on days present in the United States) filing a U.S. tax return</w:t>
      </w:r>
    </w:p>
    <w:p w14:paraId="0FFBF5EE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Dependent or spouse of a U.S. citizen/resident alien</w:t>
      </w:r>
    </w:p>
    <w:p w14:paraId="50166D79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Dependent or spouse of a nonresident alien visa holder</w:t>
      </w:r>
    </w:p>
    <w:p w14:paraId="077295C6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Nonresident alien claiming a tax treaty benefit</w:t>
      </w:r>
    </w:p>
    <w:p w14:paraId="51E88619" w14:textId="77777777" w:rsidR="00B50A3A" w:rsidRPr="00B50A3A" w:rsidRDefault="00B50A3A" w:rsidP="00B50A3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15"/>
        <w:rPr>
          <w:rFonts w:ascii="Source Sans Pro" w:eastAsia="Times New Roman" w:hAnsi="Source Sans Pro" w:cs="Times New Roman"/>
          <w:color w:val="1B1B1B"/>
          <w:sz w:val="24"/>
          <w:szCs w:val="24"/>
        </w:rPr>
      </w:pPr>
      <w:r w:rsidRPr="00B50A3A">
        <w:rPr>
          <w:rFonts w:ascii="Source Sans Pro" w:eastAsia="Times New Roman" w:hAnsi="Source Sans Pro" w:cs="Times New Roman"/>
          <w:color w:val="1B1B1B"/>
          <w:sz w:val="24"/>
          <w:szCs w:val="24"/>
        </w:rPr>
        <w:t>Nonresident alien student, professor or researcher filing a U.S. tax return or claiming an exception</w:t>
      </w:r>
    </w:p>
    <w:p w14:paraId="606D5D9F" w14:textId="08852BC3" w:rsidR="00B50A3A" w:rsidRPr="00B50A3A" w:rsidRDefault="009A1A5E" w:rsidP="00B50A3A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</w:rPr>
      </w:pPr>
      <w:r w:rsidRPr="00CD5FA3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</w:rPr>
        <w:t>We have an IRS</w:t>
      </w:r>
      <w:r w:rsidR="0040046C" w:rsidRPr="00CD5FA3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</w:rPr>
        <w:t xml:space="preserve"> </w:t>
      </w:r>
      <w:r w:rsidR="0040046C" w:rsidRPr="00CD5FA3">
        <w:rPr>
          <w:rFonts w:ascii="Source Sans Pro" w:hAnsi="Source Sans Pro"/>
          <w:b/>
          <w:bCs/>
          <w:u w:val="single"/>
          <w:shd w:val="clear" w:color="auto" w:fill="FFFFFF"/>
        </w:rPr>
        <w:t>certifying acceptance agent (CAA)</w:t>
      </w:r>
      <w:r w:rsidR="00052A93" w:rsidRPr="00CD5FA3">
        <w:rPr>
          <w:rFonts w:ascii="Source Sans Pro" w:hAnsi="Source Sans Pro"/>
          <w:b/>
          <w:bCs/>
          <w:u w:val="single"/>
          <w:shd w:val="clear" w:color="auto" w:fill="FFFFFF"/>
        </w:rPr>
        <w:t xml:space="preserve"> at the office.</w:t>
      </w:r>
    </w:p>
    <w:p w14:paraId="5A917ECD" w14:textId="77777777" w:rsidR="00F174BC" w:rsidRPr="00CD5FA3" w:rsidRDefault="00F174BC">
      <w:pPr>
        <w:rPr>
          <w:b/>
          <w:bCs/>
          <w:u w:val="single"/>
        </w:rPr>
      </w:pPr>
    </w:p>
    <w:sectPr w:rsidR="00F174BC" w:rsidRPr="00CD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35A"/>
    <w:multiLevelType w:val="multilevel"/>
    <w:tmpl w:val="4D2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3597"/>
    <w:multiLevelType w:val="multilevel"/>
    <w:tmpl w:val="64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348008">
    <w:abstractNumId w:val="0"/>
  </w:num>
  <w:num w:numId="2" w16cid:durableId="5964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23"/>
    <w:rsid w:val="00052A93"/>
    <w:rsid w:val="000F7294"/>
    <w:rsid w:val="00140C90"/>
    <w:rsid w:val="00150E23"/>
    <w:rsid w:val="00227C65"/>
    <w:rsid w:val="00273024"/>
    <w:rsid w:val="0040046C"/>
    <w:rsid w:val="005C642B"/>
    <w:rsid w:val="00731CF9"/>
    <w:rsid w:val="008148C7"/>
    <w:rsid w:val="009A1A5E"/>
    <w:rsid w:val="00B50A3A"/>
    <w:rsid w:val="00CD5FA3"/>
    <w:rsid w:val="00F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2D87"/>
  <w15:chartTrackingRefBased/>
  <w15:docId w15:val="{266AB44F-BFC6-4F79-8F00-2C830EA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ssnum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ssnu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ssnumb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sa.gov/ssnumb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individuals/international-taxpayers/determining-an-individuals-tax-residency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Sanchez</dc:creator>
  <cp:keywords/>
  <dc:description/>
  <cp:lastModifiedBy>Blanca Sanchez</cp:lastModifiedBy>
  <cp:revision>8</cp:revision>
  <dcterms:created xsi:type="dcterms:W3CDTF">2022-01-19T18:07:00Z</dcterms:created>
  <dcterms:modified xsi:type="dcterms:W3CDTF">2022-11-02T17:57:00Z</dcterms:modified>
</cp:coreProperties>
</file>